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Informacja dodatkowa</w:t>
      </w:r>
      <w:bookmarkEnd w:id="0"/>
    </w:p>
    <w:tbl>
      <w:tblPr>
        <w:tblOverlap w:val="never"/>
        <w:jc w:val="center"/>
        <w:tblLayout w:type="fixed"/>
      </w:tblPr>
      <w:tblGrid>
        <w:gridCol w:w="994"/>
        <w:gridCol w:w="8827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Wprowadzenie do sprawozdania finansowego, obejmuje w szczególności: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Powiatowe Centrum Opiekuńczo-Mieszkalne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nazwę jednostki</w:t>
            </w:r>
          </w:p>
        </w:tc>
      </w:tr>
      <w:tr>
        <w:trPr>
          <w:trHeight w:val="6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Golub-Dobrzyń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siedzibę jednostki</w:t>
            </w: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ul. Doktora Jerzego Gerarda Koppa IG, 87-400 Golub-Dobrzyń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adres jednostki</w:t>
            </w:r>
          </w:p>
        </w:tc>
      </w:tr>
      <w:tr>
        <w:trPr>
          <w:trHeight w:val="14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3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PKD 8730Z Pomoc społeczna z zakwaterowaniem dla osób w podeszłym wieku i osób niepełnosprawnych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podstawowy przedmiot działalności jednostki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Przedmiotowe sprawozdanie finansowe obejmuje rok obrotowy od 01.01.2022 do 31.12.2022.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wskazanie okresu objętego sprawozdaniem</w:t>
            </w: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wskazanie, że sprawozdanie finansowe zawiera dane łączne</w:t>
            </w:r>
          </w:p>
        </w:tc>
      </w:tr>
      <w:tr>
        <w:trPr>
          <w:trHeight w:val="136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Sprawozdanie finansowe sporządzone zostało na podstawie ksiąg rachunkowych prowadzonych w roku obrotowym zgodnie z dokumentacją przyjętych zasad rachunkowości ustaloną i wprowadzoną do stosowania na podstawie Zarządzenia Nr 75/2018 z dnia 28.12.2018</w:t>
            </w: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4.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omówienie przyjętych zasad (polityki) rachunkowości, w tym metod wyceny aktywów i pasywów (także amortyzacji)</w:t>
            </w: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5.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inne informacje</w:t>
            </w: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276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pl-PL" w:eastAsia="pl-PL" w:bidi="pl-PL"/>
        </w:rPr>
        <w:t>II. Dodatkowe informacje i objaśnienia obejmują w szczególności: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pl-PL" w:eastAsia="pl-PL" w:bidi="pl-PL"/>
        </w:rPr>
        <w:t>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960" w:right="0" w:hanging="9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1.1. szczegółowy zakres zmian wartości grup rodzajowych środków trwałych, wartości niematerialnych i prawnych, zawierający stan tych aktywów na początek roku obrotowego, zwiększenia i zmniejszenia z tytułu: aktualizacji wartości, nabycia, rozchodu, przemieszczenia wewnętrznego oraz stan końcowy, a dla majątku amortyzowanego - podobne przedstawienie stanów i tytułów zmian dotychczasowej amortyzacji lub umorzenia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99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1. Środki trwale zmiana wartości początkowej</w:t>
      </w:r>
    </w:p>
    <w:tbl>
      <w:tblPr>
        <w:tblOverlap w:val="never"/>
        <w:jc w:val="center"/>
        <w:tblLayout w:type="fixed"/>
      </w:tblPr>
      <w:tblGrid>
        <w:gridCol w:w="667"/>
        <w:gridCol w:w="1819"/>
        <w:gridCol w:w="1642"/>
        <w:gridCol w:w="1320"/>
        <w:gridCol w:w="1392"/>
        <w:gridCol w:w="1483"/>
      </w:tblGrid>
      <w:tr>
        <w:trPr>
          <w:trHeight w:val="70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Wyszczególnienie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Wartość początkowa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Zwiększenie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Zmniejszenie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Wartość końcowa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Grupa 1 (011)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3.546.779,07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3.546,779,07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Grupa 8 (011)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101.290,00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101.290,00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razem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3.648.069,07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3.648.069,07</w:t>
            </w:r>
          </w:p>
        </w:tc>
      </w:tr>
    </w:tbl>
    <w:p>
      <w:pPr>
        <w:widowControl w:val="0"/>
        <w:spacing w:after="439" w:line="1" w:lineRule="exact"/>
      </w:pPr>
    </w:p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2. Pozostałe środki trwałe zmiana wartości początkowej</w:t>
      </w:r>
    </w:p>
    <w:tbl>
      <w:tblPr>
        <w:tblOverlap w:val="never"/>
        <w:jc w:val="center"/>
        <w:tblLayout w:type="fixed"/>
      </w:tblPr>
      <w:tblGrid>
        <w:gridCol w:w="149"/>
        <w:gridCol w:w="504"/>
        <w:gridCol w:w="1531"/>
        <w:gridCol w:w="1642"/>
        <w:gridCol w:w="1315"/>
        <w:gridCol w:w="1392"/>
        <w:gridCol w:w="1483"/>
      </w:tblGrid>
      <w:tr>
        <w:trPr>
          <w:trHeight w:val="82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Wyszczególnienie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Wartość początkowa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Zwiększenie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Zmniejszenie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Wartość końcowa</w:t>
            </w:r>
          </w:p>
        </w:tc>
      </w:tr>
      <w:tr>
        <w:trPr>
          <w:trHeight w:val="547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Pozostałe środki (013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299.072,12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299.072,12</w:t>
            </w:r>
          </w:p>
        </w:tc>
      </w:tr>
      <w:tr>
        <w:trPr>
          <w:trHeight w:val="922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2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54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WNiP (020)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-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2.100,00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-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2.100,00</w:t>
            </w:r>
          </w:p>
        </w:tc>
      </w:tr>
    </w:tbl>
    <w:p>
      <w:pPr>
        <w:widowControl w:val="0"/>
        <w:spacing w:after="439" w:line="1" w:lineRule="exact"/>
      </w:pPr>
    </w:p>
    <w:p>
      <w:pPr>
        <w:widowControl w:val="0"/>
        <w:spacing w:line="1" w:lineRule="exact"/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61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3. Zmiana wartości umorzenia środki trwałe</w:t>
      </w:r>
    </w:p>
    <w:tbl>
      <w:tblPr>
        <w:tblOverlap w:val="never"/>
        <w:jc w:val="right"/>
        <w:tblLayout w:type="fixed"/>
      </w:tblPr>
      <w:tblGrid>
        <w:gridCol w:w="638"/>
        <w:gridCol w:w="1531"/>
        <w:gridCol w:w="1267"/>
        <w:gridCol w:w="1286"/>
        <w:gridCol w:w="1027"/>
        <w:gridCol w:w="1570"/>
        <w:gridCol w:w="1325"/>
      </w:tblGrid>
      <w:tr>
        <w:trPr>
          <w:trHeight w:val="11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Wyszczególnienie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Wartość początkowa umorzenia ogólne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zw.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zm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Suma umorzenia rocznego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Umorzenia ogólne</w:t>
            </w:r>
          </w:p>
        </w:tc>
      </w:tr>
      <w:tr>
        <w:trPr>
          <w:trHeight w:val="8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Grupa 1 (071)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7.389,12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7.389,12</w:t>
            </w:r>
          </w:p>
        </w:tc>
      </w:tr>
      <w:tr>
        <w:trPr>
          <w:trHeight w:val="8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Grupa 8 (071)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1.913,04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1.913,04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Razem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right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-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9.302,16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9.302,16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5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pl-PL" w:eastAsia="pl-PL" w:bidi="pl-PL"/>
        </w:rPr>
        <w:t>4. Zmiana wartości umorzenia pozostałe środki trwałe</w:t>
      </w:r>
    </w:p>
    <w:tbl>
      <w:tblPr>
        <w:tblOverlap w:val="never"/>
        <w:jc w:val="center"/>
        <w:tblLayout w:type="fixed"/>
      </w:tblPr>
      <w:tblGrid>
        <w:gridCol w:w="528"/>
        <w:gridCol w:w="1526"/>
        <w:gridCol w:w="1584"/>
        <w:gridCol w:w="1133"/>
        <w:gridCol w:w="1267"/>
        <w:gridCol w:w="1416"/>
      </w:tblGrid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Lp.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Wyszczególnienie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Wartość początkowa umorzenia ogólne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zw.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zm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Umorzenia ogólne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109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Pozostałe</w:t>
              <w:tab/>
              <w:t>ŚT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(072)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299.072,12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299.072,12</w:t>
            </w:r>
          </w:p>
        </w:tc>
      </w:tr>
      <w:tr>
        <w:trPr>
          <w:trHeight w:val="955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2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WNiP (072)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22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-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2.100,00</w:t>
            </w:r>
          </w:p>
        </w:tc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-</w:t>
            </w:r>
          </w:p>
        </w:tc>
        <w:tc>
          <w:tcPr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pl-PL" w:eastAsia="pl-PL" w:bidi="pl-PL"/>
              </w:rPr>
              <w:t>2.100,00</w:t>
            </w:r>
          </w:p>
        </w:tc>
      </w:tr>
    </w:tbl>
    <w:p>
      <w:pPr>
        <w:widowControl w:val="0"/>
        <w:spacing w:after="14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854"/>
        <w:gridCol w:w="8717"/>
      </w:tblGrid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1.2.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30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aktualną wartość tynkową środków trwałych, w tym dóbr kultury - o ile jednostka dysponuje takimi informacjami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***************</w:t>
            </w:r>
          </w:p>
        </w:tc>
      </w:tr>
      <w:tr>
        <w:trPr>
          <w:trHeight w:val="1757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1.3.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307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kwotę dokonanych w trakcie roku obrotowego odpisów aktualizujących wartość aktywów trwałych odrębnie dla długoterminowych aktywów niefinansowych oraz długoterminowych aktywów finansowych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***************</w:t>
            </w:r>
          </w:p>
        </w:tc>
      </w:tr>
      <w:tr>
        <w:trPr>
          <w:trHeight w:val="1166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1.4.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wartość gruntów użytkowanych wieczyście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***************</w:t>
            </w:r>
          </w:p>
        </w:tc>
      </w:tr>
      <w:tr>
        <w:trPr>
          <w:trHeight w:val="1459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1.5.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305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wartość nieamortyzowanych lub nieumarzanych przez jednostkę środków trwałych, używanych na podstawie umów najmu, dzierżawy i innych umów, w tym z tytułu umów leasingu</w:t>
            </w:r>
          </w:p>
        </w:tc>
      </w:tr>
      <w:tr>
        <w:trPr>
          <w:trHeight w:val="1459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2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1.6.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31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liczbę oraz wartość posiadanych papierów wartościowych, w tym akcji i udziałów oraz dłużnych papierów wartościowych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A**A**t**A*AA*:A*r</w:t>
            </w:r>
          </w:p>
        </w:tc>
      </w:tr>
      <w:tr>
        <w:trPr>
          <w:trHeight w:val="1776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24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1.7.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30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dane o odpisach aktualizujących wartość należności, ze wskazaniem stanu na początek roku obrotowego, zwiększeniach, wykorzystaniu, rozwiązaniu i stanie na koniec roku obrotowego, z uwzględnieniem należności finansowych jednostek samorządu terytorialnego (stan pożyczek zagrożonych)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Ait*:A**rA*fA*A**:A*r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989"/>
        <w:gridCol w:w="8832"/>
      </w:tblGrid>
      <w:tr>
        <w:trPr>
          <w:trHeight w:val="8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1.8.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dane o stanie rezerw według celu ich utworzenia na początek roku obrotowego, zwiększeniach, wykorzystaniu, rozwiązaniu i stanie końcowym</w:t>
            </w:r>
          </w:p>
        </w:tc>
      </w:tr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1.9.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podział zobowiązań długoterminowych o pozostałym od dnia bilansowego, przewidywanym umową lub wynikającym z innego tytułu prawnego, okresie spłaty: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a)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powyżej 1 roku do 3 lat</w:t>
            </w: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b)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powyżej 3 do 5 lat</w:t>
            </w:r>
          </w:p>
        </w:tc>
      </w:tr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c)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powyżej 5 lat</w:t>
            </w: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6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1.10.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kwotę zobowiązań w sytuacji gdy jednostka kwalifikuje umowy leasingu zgodnie z przepisami podatkowymi (leasing operacyjny), a według przepisów o rachunkowości byłby to leasing finansowy lub zwrotny z podziałem na kwotę zobowiązań z tytułu leasingu finansowego lub leasingu zwrotnego</w:t>
            </w:r>
          </w:p>
        </w:tc>
      </w:tr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A*3t**A*A*tfc*AA*A</w:t>
            </w: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1.11.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łączną kwotę zobowiązań zabezpieczonych na majątku jednostki ze wskazaniem charakteru i formy tych zabezpieczeń</w:t>
            </w: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1.12.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łączną kwotę zobowiązań warunkowych, w tym również udzielonych przez jednostkę gwarancji i poręczeń, także wekslowych, niewykazanych w bilansie, ze wskazaniem zobowiązań zabezpieczonych na majątku jednostki oraz charakteru i formy tych zabezpieczeń</w:t>
            </w: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7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1.13.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wykaz istotnych pozycji czynnych i biernych rozliczeń międzyokresowych, w tym kwotę czynnych rozliczeń międzyokresowych kosztów stanowiących różnicę między wartością otrzymanych finansowych składników aktywów a zobowiązaniem zapłaty za nie</w:t>
            </w: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1.14.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łączną kwotę otrzymanych przez jednostkę gwarancji i poręczeń niewykazanych w bilansie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979"/>
        <w:gridCol w:w="8813"/>
      </w:tblGrid>
      <w:tr>
        <w:trPr>
          <w:trHeight w:val="6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792" w:h="11549" w:hSpace="168" w:vSpace="946" w:wrap="notBeside" w:vAnchor="text" w:hAnchor="text" w:x="41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792" w:h="11549" w:hSpace="168" w:vSpace="946" w:wrap="notBeside" w:vAnchor="text" w:hAnchor="text" w:x="4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AAAitSAAAAAAAAAA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792" w:h="11549" w:hSpace="168" w:vSpace="946" w:wrap="notBeside" w:vAnchor="text" w:hAnchor="text" w:x="4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1.15.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792" w:h="11549" w:hSpace="168" w:vSpace="946" w:wrap="notBeside" w:vAnchor="text" w:hAnchor="text" w:x="4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kwotę wypłaconych środków pieniężnych na świadczenia pracownicze</w:t>
            </w:r>
          </w:p>
        </w:tc>
      </w:tr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792" w:h="11549" w:hSpace="168" w:vSpace="946" w:wrap="notBeside" w:vAnchor="text" w:hAnchor="text" w:x="41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792" w:h="11549" w:hSpace="168" w:vSpace="946" w:wrap="notBeside" w:vAnchor="text" w:hAnchor="text" w:x="4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pl-PL" w:eastAsia="pl-PL" w:bidi="pl-PL"/>
              </w:rPr>
              <w:t>Nagrody jubileuszowe - 3.726,56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792" w:h="11549" w:hSpace="168" w:vSpace="946" w:wrap="notBeside" w:vAnchor="text" w:hAnchor="text" w:x="4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1.16.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792" w:h="11549" w:hSpace="168" w:vSpace="946" w:wrap="notBeside" w:vAnchor="text" w:hAnchor="text" w:x="4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inne informacje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792" w:h="11549" w:hSpace="168" w:vSpace="946" w:wrap="notBeside" w:vAnchor="text" w:hAnchor="text" w:x="41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792" w:h="11549" w:hSpace="168" w:vSpace="946" w:wrap="notBeside" w:vAnchor="text" w:hAnchor="text" w:x="4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AAAAAAAAAAAAAAA</w:t>
            </w:r>
          </w:p>
        </w:tc>
      </w:tr>
      <w:tr>
        <w:trPr>
          <w:trHeight w:val="5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792" w:h="11549" w:hSpace="168" w:vSpace="946" w:wrap="notBeside" w:vAnchor="text" w:hAnchor="text" w:x="4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792" w:h="11549" w:hSpace="168" w:vSpace="946" w:wrap="notBeside" w:vAnchor="text" w:hAnchor="text" w:x="414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792" w:h="11549" w:hSpace="168" w:vSpace="946" w:wrap="notBeside" w:vAnchor="text" w:hAnchor="text" w:x="4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2.1.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792" w:h="11549" w:hSpace="168" w:vSpace="946" w:wrap="notBeside" w:vAnchor="text" w:hAnchor="text" w:x="4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wysokość odpisów aktualizujących wartość zapasów</w:t>
            </w:r>
          </w:p>
        </w:tc>
      </w:tr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792" w:h="11549" w:hSpace="168" w:vSpace="946" w:wrap="notBeside" w:vAnchor="text" w:hAnchor="text" w:x="41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792" w:h="11549" w:hSpace="168" w:vSpace="946" w:wrap="notBeside" w:vAnchor="text" w:hAnchor="text" w:x="414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792" w:h="11549" w:hSpace="168" w:vSpace="946" w:wrap="notBeside" w:vAnchor="text" w:hAnchor="text" w:x="4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2.2.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792" w:h="11549" w:hSpace="168" w:vSpace="946" w:wrap="notBeside" w:vAnchor="text" w:hAnchor="text" w:x="414" w:y="1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koszt wytworzenia środków trwałych w budowie, w tym odsetki oraz różnice kursowe, które powiększyły koszt wytworzenia środków trwałych w budowie w roku obrotowym</w:t>
            </w:r>
          </w:p>
        </w:tc>
      </w:tr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792" w:h="11549" w:hSpace="168" w:vSpace="946" w:wrap="notBeside" w:vAnchor="text" w:hAnchor="text" w:x="41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792" w:h="11549" w:hSpace="168" w:vSpace="946" w:wrap="notBeside" w:vAnchor="text" w:hAnchor="text" w:x="414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792" w:h="11549" w:hSpace="168" w:vSpace="946" w:wrap="notBeside" w:vAnchor="text" w:hAnchor="text" w:x="4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2.3.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792" w:h="11549" w:hSpace="168" w:vSpace="946" w:wrap="notBeside" w:vAnchor="text" w:hAnchor="text" w:x="414" w:y="1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kwotę i charakter poszczególnych pozycji przychodów lub kosztów o nadzwyczajnej wartości lub które wystąpiły incydentalnie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792" w:h="11549" w:hSpace="168" w:vSpace="946" w:wrap="notBeside" w:vAnchor="text" w:hAnchor="text" w:x="41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792" w:h="11549" w:hSpace="168" w:vSpace="946" w:wrap="notBeside" w:vAnchor="text" w:hAnchor="text" w:x="414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792" w:h="11549" w:hSpace="168" w:vSpace="946" w:wrap="notBeside" w:vAnchor="text" w:hAnchor="text" w:x="4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2.4.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792" w:h="11549" w:hSpace="168" w:vSpace="946" w:wrap="notBeside" w:vAnchor="text" w:hAnchor="text" w:x="414" w:y="1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informację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>
        <w:trPr>
          <w:trHeight w:val="67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792" w:h="11549" w:hSpace="168" w:vSpace="946" w:wrap="notBeside" w:vAnchor="text" w:hAnchor="text" w:x="41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792" w:h="11549" w:hSpace="168" w:vSpace="946" w:wrap="notBeside" w:vAnchor="text" w:hAnchor="text" w:x="4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AAAAAAAAAAAAAAA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792" w:h="11549" w:hSpace="168" w:vSpace="946" w:wrap="notBeside" w:vAnchor="text" w:hAnchor="text" w:x="4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2.5.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792" w:h="11549" w:hSpace="168" w:vSpace="946" w:wrap="notBeside" w:vAnchor="text" w:hAnchor="text" w:x="4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inne informacje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792" w:h="11549" w:hSpace="168" w:vSpace="946" w:wrap="notBeside" w:vAnchor="text" w:hAnchor="text" w:x="41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792" w:h="11549" w:hSpace="168" w:vSpace="946" w:wrap="notBeside" w:vAnchor="text" w:hAnchor="text" w:x="4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pl-PL" w:eastAsia="pl-PL" w:bidi="pl-PL"/>
              </w:rPr>
              <w:t>AAAAAAAAAAAAAAA</w:t>
            </w: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792" w:h="11549" w:hSpace="168" w:vSpace="946" w:wrap="notBeside" w:vAnchor="text" w:hAnchor="text" w:x="4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3.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framePr w:w="9792" w:h="11549" w:hSpace="168" w:vSpace="946" w:wrap="notBeside" w:vAnchor="text" w:hAnchor="text" w:x="414" w:y="1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pl-PL" w:eastAsia="pl-PL" w:bidi="pl-PL"/>
              </w:rPr>
              <w:t>Inne informacje niż wymienione powyżej, jeżeli mogłyby w istotny sposób wpłynąć na ocenę sytuacji majątkowej i finansowej oraz wynik finansowy jednostki</w:t>
            </w: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9792" w:h="11549" w:hSpace="168" w:vSpace="946" w:wrap="notBeside" w:vAnchor="text" w:hAnchor="text" w:x="414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9792" w:h="11549" w:hSpace="168" w:vSpace="946" w:wrap="notBeside" w:vAnchor="text" w:hAnchor="text" w:x="414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3"/>
        <w:keepNext w:val="0"/>
        <w:keepLines w:val="0"/>
        <w:framePr w:w="2083" w:h="211" w:hSpace="245" w:wrap="notBeside" w:vAnchor="text" w:hAnchor="text" w:x="246" w:y="11588"/>
        <w:widowControl w:val="0"/>
        <w:shd w:val="clear" w:color="auto" w:fill="auto"/>
        <w:bidi w:val="0"/>
        <w:spacing w:before="0" w:after="0" w:line="240" w:lineRule="auto"/>
        <w:ind w:left="0" w:right="0" w:firstLine="580"/>
        <w:jc w:val="left"/>
        <w:rPr>
          <w:sz w:val="20"/>
          <w:szCs w:val="20"/>
        </w:rPr>
      </w:pPr>
      <w:r>
        <w:rPr>
          <w:rFonts w:ascii="Arial" w:eastAsia="Arial" w:hAnsi="Arial" w:cs="Arial"/>
          <w:b w:val="0"/>
          <w:bCs w:val="0"/>
          <w:color w:val="F07B82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 xml:space="preserve">Sterbnik </w:t>
      </w:r>
      <w:r>
        <w:rPr>
          <w:b w:val="0"/>
          <w:bCs w:val="0"/>
          <w:i/>
          <w:iCs/>
          <w:color w:val="7B84CE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i</w:t>
      </w:r>
    </w:p>
    <w:p>
      <w:pPr>
        <w:pStyle w:val="Style13"/>
        <w:keepNext w:val="0"/>
        <w:keepLines w:val="0"/>
        <w:framePr w:w="2606" w:h="475" w:hSpace="245" w:wrap="notBeside" w:vAnchor="text" w:hAnchor="text" w:x="6683" w:y="1202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center"/>
        <w:rPr>
          <w:sz w:val="20"/>
          <w:szCs w:val="20"/>
        </w:rPr>
      </w:pPr>
      <w:r>
        <w:rPr>
          <w:rFonts w:ascii="Arial" w:eastAsia="Arial" w:hAnsi="Arial" w:cs="Arial"/>
          <w:b w:val="0"/>
          <w:bCs w:val="0"/>
          <w:color w:val="F07B82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STARCIA GOLUBSKOJSfiBRZYŃSKI</w:t>
      </w:r>
    </w:p>
    <w:p>
      <w:pPr>
        <w:widowControl w:val="0"/>
        <w:spacing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  <w:rPr>
          <w:sz w:val="17"/>
          <w:szCs w:val="17"/>
        </w:rPr>
      </w:pPr>
      <w: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859790</wp:posOffset>
                </wp:positionH>
                <wp:positionV relativeFrom="margin">
                  <wp:posOffset>7689850</wp:posOffset>
                </wp:positionV>
                <wp:extent cx="1322705" cy="15875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270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color w:val="F07B82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mgr ZbigniewSzyjkowsł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7.700000000000003pt;margin-top:605.5pt;width:104.15000000000001pt;height:12.5pt;z-index:-12582937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F07B82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mgr ZbigniewSzyjkowsł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3175" distB="0" distL="114300" distR="1951990" simplePos="0" relativeHeight="125829380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168275</wp:posOffset>
                </wp:positionV>
                <wp:extent cx="963295" cy="149225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3295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(główny księgowy)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4.900000000000006pt;margin-top:13.25pt;width:75.850000000000009pt;height:11.75pt;z-index:-125829373;mso-wrap-distance-left:9.pt;mso-wrap-distance-top:0.25pt;mso-wrap-distance-right:153.70000000000002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(główny księgowy)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3175" distL="1903730" distR="113665" simplePos="0" relativeHeight="125829382" behindDoc="0" locked="0" layoutInCell="1" allowOverlap="1">
                <wp:simplePos x="0" y="0"/>
                <wp:positionH relativeFrom="page">
                  <wp:posOffset>2740660</wp:posOffset>
                </wp:positionH>
                <wp:positionV relativeFrom="paragraph">
                  <wp:posOffset>165100</wp:posOffset>
                </wp:positionV>
                <wp:extent cx="1012190" cy="149225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1219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pl-PL" w:eastAsia="pl-PL" w:bidi="pl-PL"/>
                              </w:rPr>
                              <w:t>(rok, miesiąc, dzień)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15.80000000000001pt;margin-top:13.pt;width:79.700000000000003pt;height:11.75pt;z-index:-125829371;mso-wrap-distance-left:149.90000000000001pt;mso-wrap-distance-right:8.9500000000000011pt;mso-wrap-distance-bottom:0.25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(rok, miesiąc, dzień)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  <w:color w:val="F07B82"/>
          <w:spacing w:val="0"/>
          <w:w w:val="100"/>
          <w:position w:val="0"/>
          <w:sz w:val="20"/>
          <w:szCs w:val="20"/>
          <w:shd w:val="clear" w:color="auto" w:fill="auto"/>
          <w:lang w:val="pl-PL" w:eastAsia="pl-PL" w:bidi="pl-PL"/>
        </w:rPr>
        <w:t>mgr FrarfcifztH Gutowski</w:t>
        <w:br/>
      </w:r>
      <w:r>
        <w:rPr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pl-PL" w:eastAsia="pl-PL" w:bidi="pl-PL"/>
        </w:rPr>
        <w:t>(kierownik jednostki)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/>
        <w:ind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pl-PL" w:eastAsia="pl-PL" w:bidi="pl-PL"/>
        </w:rPr>
        <w:t>Inspektor</w:t>
      </w:r>
    </w:p>
    <w:p>
      <w:pPr>
        <w:pStyle w:val="Style24"/>
        <w:keepNext/>
        <w:keepLines/>
        <w:widowControl w:val="0"/>
        <w:shd w:val="clear" w:color="auto" w:fill="auto"/>
        <w:bidi w:val="0"/>
        <w:spacing w:before="0"/>
        <w:ind w:left="0" w:right="0"/>
        <w:jc w:val="left"/>
      </w:pPr>
      <w:bookmarkStart w:id="2" w:name="bookmark2"/>
      <w:r>
        <w:rPr>
          <w:rFonts w:ascii="Arial" w:eastAsia="Arial" w:hAnsi="Arial" w:cs="Arial"/>
          <w:i w:val="0"/>
          <w:iCs w:val="0"/>
          <w:color w:val="7B84CE"/>
          <w:spacing w:val="0"/>
          <w:w w:val="100"/>
          <w:position w:val="0"/>
          <w:sz w:val="26"/>
          <w:szCs w:val="26"/>
          <w:shd w:val="clear" w:color="auto" w:fill="auto"/>
          <w:lang w:val="pl-PL" w:eastAsia="pl-PL" w:bidi="pl-PL"/>
        </w:rPr>
        <w:t xml:space="preserve">Cliłtouel 'ypw.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pl-PL" w:eastAsia="pl-PL" w:bidi="pl-PL"/>
        </w:rPr>
        <w:t>Magdalena Chruściel</w:t>
      </w:r>
      <w:bookmarkEnd w:id="2"/>
    </w:p>
    <w:sectPr>
      <w:footnotePr>
        <w:pos w:val="pageBottom"/>
        <w:numFmt w:val="decimal"/>
        <w:numRestart w:val="continuous"/>
      </w:footnotePr>
      <w:pgSz w:w="11900" w:h="16840"/>
      <w:pgMar w:top="1458" w:right="586" w:bottom="532" w:left="864" w:header="1030" w:footer="10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customStyle="1" w:styleId="CharStyle3">
    <w:name w:val="Tekst treści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Tekst treści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8">
    <w:name w:val="Nagłówek #1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0">
    <w:name w:val="Inne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Podpis tabeli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3">
    <w:name w:val="Tekst treści (3)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color w:val="F07B82"/>
      <w:sz w:val="22"/>
      <w:szCs w:val="22"/>
      <w:u w:val="none"/>
    </w:rPr>
  </w:style>
  <w:style w:type="character" w:customStyle="1" w:styleId="CharStyle25">
    <w:name w:val="Nagłówek #2_"/>
    <w:basedOn w:val="DefaultParagraphFont"/>
    <w:link w:val="Style24"/>
    <w:rPr>
      <w:rFonts w:ascii="Cambria" w:eastAsia="Cambria" w:hAnsi="Cambria" w:cs="Cambria"/>
      <w:b w:val="0"/>
      <w:bCs w:val="0"/>
      <w:i/>
      <w:iCs/>
      <w:smallCaps w:val="0"/>
      <w:strike w:val="0"/>
      <w:color w:val="F07B82"/>
      <w:u w:val="none"/>
    </w:rPr>
  </w:style>
  <w:style w:type="paragraph" w:customStyle="1" w:styleId="Style2">
    <w:name w:val="Tekst treści"/>
    <w:basedOn w:val="Normal"/>
    <w:link w:val="CharStyle3"/>
    <w:pPr>
      <w:widowControl w:val="0"/>
      <w:shd w:val="clear" w:color="auto" w:fill="auto"/>
      <w:spacing w:after="160" w:line="305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Tekst treści (2)"/>
    <w:basedOn w:val="Normal"/>
    <w:link w:val="CharStyle6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7">
    <w:name w:val="Nagłówek #1"/>
    <w:basedOn w:val="Normal"/>
    <w:link w:val="CharStyle8"/>
    <w:pPr>
      <w:widowControl w:val="0"/>
      <w:shd w:val="clear" w:color="auto" w:fill="auto"/>
      <w:spacing w:before="160" w:after="44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9">
    <w:name w:val="Inne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Podpis tabeli"/>
    <w:basedOn w:val="Normal"/>
    <w:link w:val="CharStyle14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22">
    <w:name w:val="Tekst treści (3)"/>
    <w:basedOn w:val="Normal"/>
    <w:link w:val="CharStyle23"/>
    <w:pPr>
      <w:widowControl w:val="0"/>
      <w:shd w:val="clear" w:color="auto" w:fill="auto"/>
      <w:spacing w:line="204" w:lineRule="auto"/>
      <w:ind w:left="142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F07B82"/>
      <w:sz w:val="22"/>
      <w:szCs w:val="22"/>
      <w:u w:val="none"/>
    </w:rPr>
  </w:style>
  <w:style w:type="paragraph" w:customStyle="1" w:styleId="Style24">
    <w:name w:val="Nagłówek #2"/>
    <w:basedOn w:val="Normal"/>
    <w:link w:val="CharStyle25"/>
    <w:pPr>
      <w:widowControl w:val="0"/>
      <w:shd w:val="clear" w:color="auto" w:fill="auto"/>
      <w:spacing w:after="240" w:line="173" w:lineRule="auto"/>
      <w:ind w:firstLine="1320"/>
      <w:outlineLvl w:val="1"/>
    </w:pPr>
    <w:rPr>
      <w:rFonts w:ascii="Cambria" w:eastAsia="Cambria" w:hAnsi="Cambria" w:cs="Cambria"/>
      <w:b w:val="0"/>
      <w:bCs w:val="0"/>
      <w:i/>
      <w:iCs/>
      <w:smallCaps w:val="0"/>
      <w:strike w:val="0"/>
      <w:color w:val="F07B8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S25C-0i23050813111</dc:title>
  <dc:subject/>
  <dc:creator/>
  <cp:keywords/>
</cp:coreProperties>
</file>