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7"/>
        <w:keepNext/>
        <w:keepLines/>
        <w:widowControl w:val="0"/>
        <w:shd w:val="clear" w:color="auto" w:fill="auto"/>
        <w:bidi w:val="0"/>
        <w:spacing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Informacja dodatkowa</w:t>
      </w:r>
      <w:bookmarkEnd w:id="0"/>
    </w:p>
    <w:tbl>
      <w:tblPr>
        <w:tblOverlap w:val="never"/>
        <w:jc w:val="center"/>
        <w:tblLayout w:type="fixed"/>
      </w:tblPr>
      <w:tblGrid>
        <w:gridCol w:w="994"/>
        <w:gridCol w:w="882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Wprowadzenie do sprawozdania finansowego, obejmuje w szczególności: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Powiatowe Centrum Opiekuńczo-Mieszkalne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nazwę jednostki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Golub-Dobrzyń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siedzibę jednostki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ul. Doktora Jerzego Gerarda Koppa IG, 87-400 Golub-Dobrzyń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 jednostki</w:t>
            </w:r>
          </w:p>
        </w:tc>
      </w:tr>
      <w:tr>
        <w:trPr>
          <w:trHeight w:val="14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PKD 8730Z Pomoc społeczna z zakwaterowaniem dla osób w podeszłym wieku i osób niepełnosprawnych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podstawowy przedmiot działalności jednostki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Przedmiotowe sprawozdanie finansowe obejmuje rok obrotowy od 01.01.2022 do 31.12.2022.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 okresu objętego sprawozdaniem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wskazanie, że sprawozdanie finansowe zawiera dane łączne</w:t>
            </w:r>
          </w:p>
        </w:tc>
      </w:tr>
      <w:tr>
        <w:trPr>
          <w:trHeight w:val="13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Sprawozdanie finansowe sporządzone zostało na podstawie ksiąg rachunkowych prowadzonych w roku obrotowym zgodnie z dokumentacją przyjętych zasad rachunkowości ustaloną i wprowadzoną do stosowania na podstawie Zarządzenia Nr 75/2018 z dnia 28.12.2018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omówienie przyjętych zasad (polityki) rachunkowości, w tym metod wyceny aktywów i pasywów (także amortyzacji)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76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II. Dodatkowe informacje i objaśnienia obejmują w szczególności: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960" w:right="0" w:hanging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1.1. szczegółowy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- podobne przedstawienie stanów i tytułów zmian dotychczasowej amortyzacji lub umorzenia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99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 Środki trwale zmiana wartości początkowej</w:t>
      </w:r>
    </w:p>
    <w:tbl>
      <w:tblPr>
        <w:tblOverlap w:val="never"/>
        <w:jc w:val="center"/>
        <w:tblLayout w:type="fixed"/>
      </w:tblPr>
      <w:tblGrid>
        <w:gridCol w:w="667"/>
        <w:gridCol w:w="1819"/>
        <w:gridCol w:w="1642"/>
        <w:gridCol w:w="1320"/>
        <w:gridCol w:w="1392"/>
        <w:gridCol w:w="1483"/>
      </w:tblGrid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Wartość początkowa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Wartość końcowa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Grupa 1 (011)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3.546.779,07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3.546,779,07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Grupa 8 (011)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101.290,00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101.290,00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3.648.069,07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3.648.069,07</w:t>
            </w:r>
          </w:p>
        </w:tc>
      </w:tr>
    </w:tbl>
    <w:p>
      <w:pPr>
        <w:widowControl w:val="0"/>
        <w:spacing w:after="439" w:line="1" w:lineRule="exact"/>
      </w:pPr>
    </w:p>
    <w:p>
      <w:pPr>
        <w:widowControl w:val="0"/>
        <w:spacing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2. Pozostałe środki trwałe zmiana wartości początkowej</w:t>
      </w:r>
    </w:p>
    <w:tbl>
      <w:tblPr>
        <w:tblOverlap w:val="never"/>
        <w:jc w:val="center"/>
        <w:tblLayout w:type="fixed"/>
      </w:tblPr>
      <w:tblGrid>
        <w:gridCol w:w="149"/>
        <w:gridCol w:w="504"/>
        <w:gridCol w:w="1531"/>
        <w:gridCol w:w="1642"/>
        <w:gridCol w:w="1315"/>
        <w:gridCol w:w="1392"/>
        <w:gridCol w:w="1483"/>
      </w:tblGrid>
      <w:tr>
        <w:trPr>
          <w:trHeight w:val="82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Wartość początkowa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Wartość końcowa</w:t>
            </w:r>
          </w:p>
        </w:tc>
      </w:tr>
      <w:tr>
        <w:trPr>
          <w:trHeight w:val="54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Pozostałe środki (013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299.072,12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299.072,12</w:t>
            </w:r>
          </w:p>
        </w:tc>
      </w:tr>
      <w:tr>
        <w:trPr>
          <w:trHeight w:val="92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54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WNiP (020)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2.100,00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2.100,00</w:t>
            </w:r>
          </w:p>
        </w:tc>
      </w:tr>
    </w:tbl>
    <w:p>
      <w:pPr>
        <w:widowControl w:val="0"/>
        <w:spacing w:after="439" w:line="1" w:lineRule="exact"/>
      </w:pPr>
    </w:p>
    <w:p>
      <w:pPr>
        <w:widowControl w:val="0"/>
        <w:spacing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61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3. Zmiana wartości umorzenia środki trwałe</w:t>
      </w:r>
    </w:p>
    <w:tbl>
      <w:tblPr>
        <w:tblOverlap w:val="never"/>
        <w:jc w:val="right"/>
        <w:tblLayout w:type="fixed"/>
      </w:tblPr>
      <w:tblGrid>
        <w:gridCol w:w="638"/>
        <w:gridCol w:w="1531"/>
        <w:gridCol w:w="1267"/>
        <w:gridCol w:w="1286"/>
        <w:gridCol w:w="1027"/>
        <w:gridCol w:w="1570"/>
        <w:gridCol w:w="1325"/>
      </w:tblGrid>
      <w:tr>
        <w:trPr>
          <w:trHeight w:val="11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Wartość początkowa umorzenia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Suma umorzenia rocznego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Umorzenia ogólne</w:t>
            </w:r>
          </w:p>
        </w:tc>
      </w:tr>
      <w:tr>
        <w:trPr>
          <w:trHeight w:val="8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Grupa 1 (071)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7.389,12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7.389,12</w:t>
            </w:r>
          </w:p>
        </w:tc>
      </w:tr>
      <w:tr>
        <w:trPr>
          <w:trHeight w:val="8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Grupa 8 (071)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1.913,04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1.913,04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9.302,16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9.302,16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5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4. Zmiana wartości umorzenia pozostałe środki trwałe</w:t>
      </w:r>
    </w:p>
    <w:tbl>
      <w:tblPr>
        <w:tblOverlap w:val="never"/>
        <w:jc w:val="center"/>
        <w:tblLayout w:type="fixed"/>
      </w:tblPr>
      <w:tblGrid>
        <w:gridCol w:w="528"/>
        <w:gridCol w:w="1526"/>
        <w:gridCol w:w="1584"/>
        <w:gridCol w:w="1133"/>
        <w:gridCol w:w="1267"/>
        <w:gridCol w:w="1416"/>
      </w:tblGrid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Wartość początkowa umorzenia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Umorzenia ogólne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109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Pozostałe</w:t>
              <w:tab/>
              <w:t>ŚT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(072)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299.072,12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299.072,12</w:t>
            </w:r>
          </w:p>
        </w:tc>
      </w:tr>
      <w:tr>
        <w:trPr>
          <w:trHeight w:val="955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WNiP (072)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2.100,00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2.100,00</w:t>
            </w:r>
          </w:p>
        </w:tc>
      </w:tr>
    </w:tbl>
    <w:p>
      <w:pPr>
        <w:widowControl w:val="0"/>
        <w:spacing w:after="14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854"/>
        <w:gridCol w:w="8717"/>
      </w:tblGrid>
      <w:tr>
        <w:trPr>
          <w:trHeight w:val="12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30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aktualną wartość tynkową środków trwałych, w tym dóbr kultury - o ile jednostka dysponuje takimi informacjami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***************</w:t>
            </w:r>
          </w:p>
        </w:tc>
      </w:tr>
      <w:tr>
        <w:trPr>
          <w:trHeight w:val="175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307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dokonanych w trakcie roku obrotowego odpisów aktualizujących wartość aktywów trwałych odrębnie dla długoterminowych aktywów niefinansowych oraz długoterminowych aktywów finansowych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***************</w:t>
            </w:r>
          </w:p>
        </w:tc>
      </w:tr>
      <w:tr>
        <w:trPr>
          <w:trHeight w:val="116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1.4.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gruntów użytkowanych wieczyście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***************</w:t>
            </w:r>
          </w:p>
        </w:tc>
      </w:tr>
      <w:tr>
        <w:trPr>
          <w:trHeight w:val="145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1.5.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305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nieamortyzowanych lub nieumarzanych przez jednostkę środków trwałych, używanych na podstawie umów najmu, dzierżawy i innych umów, w tym z tytułu umów leasingu</w:t>
            </w:r>
          </w:p>
        </w:tc>
      </w:tr>
      <w:tr>
        <w:trPr>
          <w:trHeight w:val="145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1.6.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31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liczbę oraz wartość posiadanych papierów wartościowych, w tym akcji i udziałów oraz dłużnych papierów wartościowych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A**A**t**A*AA*:A*r</w:t>
            </w:r>
          </w:p>
        </w:tc>
      </w:tr>
      <w:tr>
        <w:trPr>
          <w:trHeight w:val="177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1.7.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30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odpisach aktualizujących wartość należności, ze wskazaniem stanu na początek roku obrotowego, zwiększeniach, wykorzystaniu, rozwiązaniu i stanie na koniec roku obrotowego, z uwzględnieniem należności finansowych jednostek samorządu terytorialnego (stan pożyczek zagrożonych)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Ait*:A**rA*fA*A**:A*r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989"/>
        <w:gridCol w:w="8832"/>
      </w:tblGrid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1.8.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stanie rezerw według celu ich utworzenia na początek roku obrotowego, zwiększeniach, wykorzystaniu, rozwiązaniu i stanie końcowym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1.9.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podział zobowiązań długoterminowych o pozostałym od dnia bilansowego, przewidywanym umową lub wynikającym z innego tytułu prawnego, okresie spłaty: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do 5 lat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 (leasing operacyjny), a według przepisów o rachunkowości byłby to leasing finansowy lub zwrotny z podziałem na kwotę zobowiązań z tytułu leasingu finansowego lub leasingu zwrotnego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A*3t**A*A*tfc*AA*A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zabezpieczonych na majątku jednostki ze wskazaniem charakteru i formy tych zabezpieczeń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 także wekslowych, niewykazanych w bilansie, ze wskazaniem zobowiązań zabezpieczonych na majątku jednostki oraz charakteru i formy tych zabezpieczeń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1.13.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1.14.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otrzymanych przez jednostkę gwarancji i poręczeń niewykazanych w bilansie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left"/>
        <w:tblLayout w:type="fixed"/>
      </w:tblPr>
      <w:tblGrid>
        <w:gridCol w:w="979"/>
        <w:gridCol w:w="8813"/>
      </w:tblGrid>
      <w:tr>
        <w:trPr>
          <w:trHeight w:val="6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792" w:h="11549" w:hSpace="168" w:vSpace="946" w:wrap="notBeside" w:vAnchor="text" w:hAnchor="text" w:x="41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framePr w:w="9792" w:h="11549" w:hSpace="168" w:vSpace="946" w:wrap="notBeside" w:vAnchor="text" w:hAnchor="text" w:x="4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AAAitSAAAAAAAAAA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framePr w:w="9792" w:h="11549" w:hSpace="168" w:vSpace="946" w:wrap="notBeside" w:vAnchor="text" w:hAnchor="text" w:x="4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framePr w:w="9792" w:h="11549" w:hSpace="168" w:vSpace="946" w:wrap="notBeside" w:vAnchor="text" w:hAnchor="text" w:x="4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wypłaconych środków pieniężnych na świadczenia pracownicze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792" w:h="11549" w:hSpace="168" w:vSpace="946" w:wrap="notBeside" w:vAnchor="text" w:hAnchor="text" w:x="41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framePr w:w="9792" w:h="11549" w:hSpace="168" w:vSpace="946" w:wrap="notBeside" w:vAnchor="text" w:hAnchor="text" w:x="4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Nagrody jubileuszowe - 3.726,56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framePr w:w="9792" w:h="11549" w:hSpace="168" w:vSpace="946" w:wrap="notBeside" w:vAnchor="text" w:hAnchor="text" w:x="4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1.16.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framePr w:w="9792" w:h="11549" w:hSpace="168" w:vSpace="946" w:wrap="notBeside" w:vAnchor="text" w:hAnchor="text" w:x="4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792" w:h="11549" w:hSpace="168" w:vSpace="946" w:wrap="notBeside" w:vAnchor="text" w:hAnchor="text" w:x="41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framePr w:w="9792" w:h="11549" w:hSpace="168" w:vSpace="946" w:wrap="notBeside" w:vAnchor="text" w:hAnchor="text" w:x="4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AAAAAAAAAAAAAAA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framePr w:w="9792" w:h="11549" w:hSpace="168" w:vSpace="946" w:wrap="notBeside" w:vAnchor="text" w:hAnchor="text" w:x="4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9792" w:h="11549" w:hSpace="168" w:vSpace="946" w:wrap="notBeside" w:vAnchor="text" w:hAnchor="text" w:x="41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framePr w:w="9792" w:h="11549" w:hSpace="168" w:vSpace="946" w:wrap="notBeside" w:vAnchor="text" w:hAnchor="text" w:x="4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framePr w:w="9792" w:h="11549" w:hSpace="168" w:vSpace="946" w:wrap="notBeside" w:vAnchor="text" w:hAnchor="text" w:x="4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wysokość odpisów aktualizujących wartość zapasów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792" w:h="11549" w:hSpace="168" w:vSpace="946" w:wrap="notBeside" w:vAnchor="text" w:hAnchor="text" w:x="41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9792" w:h="11549" w:hSpace="168" w:vSpace="946" w:wrap="notBeside" w:vAnchor="text" w:hAnchor="text" w:x="41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framePr w:w="9792" w:h="11549" w:hSpace="168" w:vSpace="946" w:wrap="notBeside" w:vAnchor="text" w:hAnchor="text" w:x="4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framePr w:w="9792" w:h="11549" w:hSpace="168" w:vSpace="946" w:wrap="notBeside" w:vAnchor="text" w:hAnchor="text" w:x="414" w:y="1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792" w:h="11549" w:hSpace="168" w:vSpace="946" w:wrap="notBeside" w:vAnchor="text" w:hAnchor="text" w:x="41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9792" w:h="11549" w:hSpace="168" w:vSpace="946" w:wrap="notBeside" w:vAnchor="text" w:hAnchor="text" w:x="41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framePr w:w="9792" w:h="11549" w:hSpace="168" w:vSpace="946" w:wrap="notBeside" w:vAnchor="text" w:hAnchor="text" w:x="4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framePr w:w="9792" w:h="11549" w:hSpace="168" w:vSpace="946" w:wrap="notBeside" w:vAnchor="text" w:hAnchor="text" w:x="414" w:y="1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i charakter poszczególnych pozycji przychodów lub kosztów o nadzwyczajnej wartości lub które wystąpiły incydentalnie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792" w:h="11549" w:hSpace="168" w:vSpace="946" w:wrap="notBeside" w:vAnchor="text" w:hAnchor="text" w:x="41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9792" w:h="11549" w:hSpace="168" w:vSpace="946" w:wrap="notBeside" w:vAnchor="text" w:hAnchor="text" w:x="41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framePr w:w="9792" w:h="11549" w:hSpace="168" w:vSpace="946" w:wrap="notBeside" w:vAnchor="text" w:hAnchor="text" w:x="4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framePr w:w="9792" w:h="11549" w:hSpace="168" w:vSpace="946" w:wrap="notBeside" w:vAnchor="text" w:hAnchor="text" w:x="414" w:y="1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792" w:h="11549" w:hSpace="168" w:vSpace="946" w:wrap="notBeside" w:vAnchor="text" w:hAnchor="text" w:x="41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framePr w:w="9792" w:h="11549" w:hSpace="168" w:vSpace="946" w:wrap="notBeside" w:vAnchor="text" w:hAnchor="text" w:x="4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AAAAAAAAAAAAAAA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framePr w:w="9792" w:h="11549" w:hSpace="168" w:vSpace="946" w:wrap="notBeside" w:vAnchor="text" w:hAnchor="text" w:x="4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framePr w:w="9792" w:h="11549" w:hSpace="168" w:vSpace="946" w:wrap="notBeside" w:vAnchor="text" w:hAnchor="text" w:x="4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792" w:h="11549" w:hSpace="168" w:vSpace="946" w:wrap="notBeside" w:vAnchor="text" w:hAnchor="text" w:x="41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framePr w:w="9792" w:h="11549" w:hSpace="168" w:vSpace="946" w:wrap="notBeside" w:vAnchor="text" w:hAnchor="text" w:x="4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AAAAAAAAAAAAAAA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framePr w:w="9792" w:h="11549" w:hSpace="168" w:vSpace="946" w:wrap="notBeside" w:vAnchor="text" w:hAnchor="text" w:x="41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framePr w:w="9792" w:h="11549" w:hSpace="168" w:vSpace="946" w:wrap="notBeside" w:vAnchor="text" w:hAnchor="text" w:x="414" w:y="1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 niż wymienione powyżej, jeżeli mogłyby w istotny sposób wpłynąć na ocenę sytuacji majątkowej i finansowej oraz wynik finansowy jednostki</w:t>
            </w:r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9792" w:h="11549" w:hSpace="168" w:vSpace="946" w:wrap="notBeside" w:vAnchor="text" w:hAnchor="text" w:x="41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9792" w:h="11549" w:hSpace="168" w:vSpace="946" w:wrap="notBeside" w:vAnchor="text" w:hAnchor="text" w:x="414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3"/>
        <w:keepNext w:val="0"/>
        <w:keepLines w:val="0"/>
        <w:framePr w:w="2083" w:h="211" w:hSpace="245" w:wrap="notBeside" w:vAnchor="text" w:hAnchor="text" w:x="246" w:y="11588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left"/>
        <w:rPr>
          <w:sz w:val="20"/>
          <w:szCs w:val="20"/>
        </w:rPr>
      </w:pPr>
      <w:r>
        <w:rPr>
          <w:rFonts w:ascii="Arial" w:eastAsia="Arial" w:hAnsi="Arial" w:cs="Arial"/>
          <w:b w:val="0"/>
          <w:bCs w:val="0"/>
          <w:color w:val="F07B82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Sterbnik </w:t>
      </w:r>
      <w:r>
        <w:rPr>
          <w:b w:val="0"/>
          <w:bCs w:val="0"/>
          <w:i/>
          <w:iCs/>
          <w:color w:val="7B84CE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i</w:t>
      </w:r>
    </w:p>
    <w:p>
      <w:pPr>
        <w:pStyle w:val="Style13"/>
        <w:keepNext w:val="0"/>
        <w:keepLines w:val="0"/>
        <w:framePr w:w="2606" w:h="475" w:hSpace="245" w:wrap="notBeside" w:vAnchor="text" w:hAnchor="text" w:x="6683" w:y="1202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center"/>
        <w:rPr>
          <w:sz w:val="20"/>
          <w:szCs w:val="20"/>
        </w:rPr>
      </w:pPr>
      <w:r>
        <w:rPr>
          <w:rFonts w:ascii="Arial" w:eastAsia="Arial" w:hAnsi="Arial" w:cs="Arial"/>
          <w:b w:val="0"/>
          <w:bCs w:val="0"/>
          <w:color w:val="F07B82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STARCIA GOLUBSKOJSfiBRZYŃSKI</w:t>
      </w:r>
    </w:p>
    <w:p>
      <w:pPr>
        <w:widowControl w:val="0"/>
        <w:spacing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center"/>
        <w:rPr>
          <w:sz w:val="17"/>
          <w:szCs w:val="17"/>
        </w:rPr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859790</wp:posOffset>
                </wp:positionH>
                <wp:positionV relativeFrom="margin">
                  <wp:posOffset>7689850</wp:posOffset>
                </wp:positionV>
                <wp:extent cx="1322705" cy="15875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2270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F07B82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mgr ZbigniewSzyjkowsł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7.700000000000003pt;margin-top:605.5pt;width:104.15000000000001pt;height:12.5pt;z-index:-12582937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F07B82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mgr ZbigniewSzyjkowsł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175" distB="0" distL="114300" distR="1951990" simplePos="0" relativeHeight="125829380" behindDoc="0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168275</wp:posOffset>
                </wp:positionV>
                <wp:extent cx="963295" cy="149225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329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4.900000000000006pt;margin-top:13.25pt;width:75.850000000000009pt;height:11.75pt;z-index:-125829373;mso-wrap-distance-left:9.pt;mso-wrap-distance-top:0.25pt;mso-wrap-distance-right:153.70000000000002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3175" distL="1903730" distR="113665" simplePos="0" relativeHeight="125829382" behindDoc="0" locked="0" layoutInCell="1" allowOverlap="1">
                <wp:simplePos x="0" y="0"/>
                <wp:positionH relativeFrom="page">
                  <wp:posOffset>2740660</wp:posOffset>
                </wp:positionH>
                <wp:positionV relativeFrom="paragraph">
                  <wp:posOffset>165100</wp:posOffset>
                </wp:positionV>
                <wp:extent cx="1012190" cy="149225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219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15.80000000000001pt;margin-top:13.pt;width:79.700000000000003pt;height:11.75pt;z-index:-125829371;mso-wrap-distance-left:149.90000000000001pt;mso-wrap-distance-right:8.9500000000000011pt;mso-wrap-distance-bottom:0.25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i/>
          <w:iCs/>
          <w:color w:val="F07B82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mgr FrarfcifztH Gutowski</w:t>
        <w:br/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(kierownik jednostki)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Inspektor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/>
        <w:ind w:left="0" w:right="0"/>
        <w:jc w:val="left"/>
      </w:pPr>
      <w:bookmarkStart w:id="2" w:name="bookmark2"/>
      <w:r>
        <w:rPr>
          <w:rFonts w:ascii="Arial" w:eastAsia="Arial" w:hAnsi="Arial" w:cs="Arial"/>
          <w:i w:val="0"/>
          <w:iCs w:val="0"/>
          <w:color w:val="7B84CE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 xml:space="preserve">Cliłtouel 'ypw.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Magdalena Chruściel</w:t>
      </w:r>
      <w:bookmarkEnd w:id="2"/>
    </w:p>
    <w:sectPr>
      <w:footnotePr>
        <w:pos w:val="pageBottom"/>
        <w:numFmt w:val="decimal"/>
        <w:numRestart w:val="continuous"/>
      </w:footnotePr>
      <w:pgSz w:w="11900" w:h="16840"/>
      <w:pgMar w:top="1458" w:right="586" w:bottom="532" w:left="864" w:header="1030" w:footer="104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Tekst treści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8">
    <w:name w:val="Nagłówek #1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0">
    <w:name w:val="Inne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Podpis tabeli_"/>
    <w:basedOn w:val="DefaultParagraphFont"/>
    <w:link w:val="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3">
    <w:name w:val="Tekst treści (3)_"/>
    <w:basedOn w:val="DefaultParagraphFont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F07B82"/>
      <w:sz w:val="22"/>
      <w:szCs w:val="22"/>
      <w:u w:val="none"/>
    </w:rPr>
  </w:style>
  <w:style w:type="character" w:customStyle="1" w:styleId="CharStyle25">
    <w:name w:val="Nagłówek #2_"/>
    <w:basedOn w:val="DefaultParagraphFont"/>
    <w:link w:val="Style24"/>
    <w:rPr>
      <w:rFonts w:ascii="Cambria" w:eastAsia="Cambria" w:hAnsi="Cambria" w:cs="Cambria"/>
      <w:b w:val="0"/>
      <w:bCs w:val="0"/>
      <w:i/>
      <w:iCs/>
      <w:smallCaps w:val="0"/>
      <w:strike w:val="0"/>
      <w:color w:val="F07B82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160" w:line="305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Tekst treści (2)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7">
    <w:name w:val="Nagłówek #1"/>
    <w:basedOn w:val="Normal"/>
    <w:link w:val="CharStyle8"/>
    <w:pPr>
      <w:widowControl w:val="0"/>
      <w:shd w:val="clear" w:color="auto" w:fill="auto"/>
      <w:spacing w:before="160" w:after="44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9">
    <w:name w:val="Inne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Podpis tabeli"/>
    <w:basedOn w:val="Normal"/>
    <w:link w:val="CharStyle14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22">
    <w:name w:val="Tekst treści (3)"/>
    <w:basedOn w:val="Normal"/>
    <w:link w:val="CharStyle23"/>
    <w:pPr>
      <w:widowControl w:val="0"/>
      <w:shd w:val="clear" w:color="auto" w:fill="auto"/>
      <w:spacing w:line="204" w:lineRule="auto"/>
      <w:ind w:left="142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F07B82"/>
      <w:sz w:val="22"/>
      <w:szCs w:val="22"/>
      <w:u w:val="none"/>
    </w:rPr>
  </w:style>
  <w:style w:type="paragraph" w:customStyle="1" w:styleId="Style24">
    <w:name w:val="Nagłówek #2"/>
    <w:basedOn w:val="Normal"/>
    <w:link w:val="CharStyle25"/>
    <w:pPr>
      <w:widowControl w:val="0"/>
      <w:shd w:val="clear" w:color="auto" w:fill="auto"/>
      <w:spacing w:after="240" w:line="173" w:lineRule="auto"/>
      <w:ind w:firstLine="1320"/>
      <w:outlineLvl w:val="1"/>
    </w:pPr>
    <w:rPr>
      <w:rFonts w:ascii="Cambria" w:eastAsia="Cambria" w:hAnsi="Cambria" w:cs="Cambria"/>
      <w:b w:val="0"/>
      <w:bCs w:val="0"/>
      <w:i/>
      <w:iCs/>
      <w:smallCaps w:val="0"/>
      <w:strike w:val="0"/>
      <w:color w:val="F07B8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S25C-0i23050813111</dc:title>
  <dc:subject/>
  <dc:creator/>
  <cp:keywords/>
</cp:coreProperties>
</file>